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C061" w14:textId="58C981D8" w:rsidR="009641DC" w:rsidRDefault="00535450">
      <w:pPr>
        <w:pStyle w:val="Title"/>
        <w:spacing w:line="237" w:lineRule="auto"/>
      </w:pPr>
      <w:r w:rsidRPr="00EA33B6">
        <w:rPr>
          <w:noProof/>
        </w:rPr>
        <w:drawing>
          <wp:anchor distT="0" distB="0" distL="114300" distR="114300" simplePos="0" relativeHeight="251660800" behindDoc="0" locked="0" layoutInCell="1" allowOverlap="1" wp14:anchorId="3857F58A" wp14:editId="3DFFCC0B">
            <wp:simplePos x="0" y="0"/>
            <wp:positionH relativeFrom="column">
              <wp:posOffset>847725</wp:posOffset>
            </wp:positionH>
            <wp:positionV relativeFrom="paragraph">
              <wp:posOffset>3685540</wp:posOffset>
            </wp:positionV>
            <wp:extent cx="5593715" cy="15411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6CADD011">
          <v:group id="docshapegroup1" o:spid="_x0000_s1032" style="position:absolute;left:0;text-align:left;margin-left:0;margin-top:468.15pt;width:595.3pt;height:373.75pt;z-index:15728640;mso-position-horizontal-relative:page;mso-position-vertical-relative:page" coordorigin=",9363" coordsize="11906,7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top:10261;width:7223;height:5041">
              <v:imagedata r:id="rId7" o:title=""/>
            </v:shape>
            <v:shape id="docshape3" o:spid="_x0000_s1035" style="position:absolute;top:14683;width:11906;height:2155" coordorigin=",14683" coordsize="11906,2155" path="m11426,14683r-10946,l402,14690r-74,18l259,14737r-62,39l141,14824r-48,56l54,14943r-30,69l6,15086r-6,77l,16838r11906,l11906,15163r-7,-77l11881,15012r-29,-69l11813,14880r-48,-56l11709,14776r-63,-39l11577,14708r-74,-18l11426,14683xe" fillcolor="#15161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1011;top:9362;width:9904;height:1658" filled="f" stroked="f">
              <v:textbox inset="0,0,0,0">
                <w:txbxContent>
                  <w:p w14:paraId="590B46F5" w14:textId="77777777" w:rsidR="009641DC" w:rsidRDefault="00535450">
                    <w:pPr>
                      <w:spacing w:before="26" w:line="237" w:lineRule="auto"/>
                      <w:ind w:left="559" w:hanging="560"/>
                      <w:rPr>
                        <w:rFonts w:ascii="Gilroy Bold"/>
                        <w:b/>
                        <w:sz w:val="68"/>
                      </w:rPr>
                    </w:pPr>
                    <w:r>
                      <w:rPr>
                        <w:rFonts w:ascii="Gilroy Bold"/>
                        <w:b/>
                        <w:color w:val="0A1C2A"/>
                        <w:sz w:val="68"/>
                      </w:rPr>
                      <w:t>POLICY</w:t>
                    </w:r>
                    <w:r>
                      <w:rPr>
                        <w:rFonts w:ascii="Gilroy Bold"/>
                        <w:b/>
                        <w:color w:val="0A1C2A"/>
                        <w:spacing w:val="-25"/>
                        <w:sz w:val="68"/>
                      </w:rPr>
                      <w:t xml:space="preserve"> </w:t>
                    </w:r>
                    <w:r>
                      <w:rPr>
                        <w:rFonts w:ascii="Gilroy Bold"/>
                        <w:b/>
                        <w:color w:val="0A1C2A"/>
                        <w:sz w:val="68"/>
                      </w:rPr>
                      <w:t>FOR</w:t>
                    </w:r>
                    <w:r>
                      <w:rPr>
                        <w:rFonts w:ascii="Gilroy Bold"/>
                        <w:b/>
                        <w:color w:val="0A1C2A"/>
                        <w:spacing w:val="-25"/>
                        <w:sz w:val="68"/>
                      </w:rPr>
                      <w:t xml:space="preserve"> </w:t>
                    </w:r>
                    <w:r>
                      <w:rPr>
                        <w:rFonts w:ascii="Gilroy Bold"/>
                        <w:b/>
                        <w:color w:val="0A1C2A"/>
                        <w:sz w:val="68"/>
                      </w:rPr>
                      <w:t>THE</w:t>
                    </w:r>
                    <w:r>
                      <w:rPr>
                        <w:rFonts w:ascii="Gilroy Bold"/>
                        <w:b/>
                        <w:color w:val="0A1C2A"/>
                        <w:spacing w:val="-25"/>
                        <w:sz w:val="68"/>
                      </w:rPr>
                      <w:t xml:space="preserve"> </w:t>
                    </w:r>
                    <w:r>
                      <w:rPr>
                        <w:rFonts w:ascii="Gilroy Bold"/>
                        <w:b/>
                        <w:color w:val="0A1C2A"/>
                        <w:sz w:val="68"/>
                      </w:rPr>
                      <w:t>MANAGEMENT OF CONFLICTS OF INTEREST</w:t>
                    </w:r>
                  </w:p>
                </w:txbxContent>
              </v:textbox>
            </v:shape>
            <v:shape id="docshape5" o:spid="_x0000_s1033" type="#_x0000_t202" style="position:absolute;left:566;top:15179;width:10792;height:941" filled="f" stroked="f">
              <v:textbox inset="0,0,0,0">
                <w:txbxContent>
                  <w:p w14:paraId="4D58D5AE" w14:textId="448A4BA5" w:rsidR="009641DC" w:rsidRDefault="00535450">
                    <w:pPr>
                      <w:spacing w:before="2" w:line="273" w:lineRule="auto"/>
                      <w:ind w:right="18"/>
                      <w:jc w:val="both"/>
                      <w:rPr>
                        <w:rFonts w:ascii="Gilroy Bold" w:hAnsi="Gilroy Bold"/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Policy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for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Management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Conflicts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Interest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has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been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updated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at</w:t>
                    </w:r>
                    <w:proofErr w:type="gramEnd"/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November 2023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shall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remain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effective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until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more recent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version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released.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Finalto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(South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Africa)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Pty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Limited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(“Finalto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SA”)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reserves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right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amend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or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supplement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Document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at any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time.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Document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does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not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replace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our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Terms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Conditions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“Agreement”)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which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we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ask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that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read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carefully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before you 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enter into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 any trading. The prevailing vers</w:t>
                    </w:r>
                    <w:r>
                      <w:rPr>
                        <w:color w:val="FFFFFF"/>
                        <w:sz w:val="18"/>
                      </w:rPr>
                      <w:t>ion of this Document is always available on our website.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72D2ACC" w14:textId="77777777" w:rsidR="009641DC" w:rsidRDefault="009641DC">
      <w:pPr>
        <w:spacing w:line="237" w:lineRule="auto"/>
        <w:sectPr w:rsidR="009641DC">
          <w:headerReference w:type="default" r:id="rId8"/>
          <w:type w:val="continuous"/>
          <w:pgSz w:w="11910" w:h="16840"/>
          <w:pgMar w:top="240" w:right="0" w:bottom="0" w:left="0" w:header="720" w:footer="720" w:gutter="0"/>
          <w:cols w:space="720"/>
        </w:sectPr>
      </w:pPr>
    </w:p>
    <w:p w14:paraId="5ACF9AC4" w14:textId="0884D149" w:rsidR="009641DC" w:rsidRDefault="00535450">
      <w:pPr>
        <w:pStyle w:val="BodyText"/>
        <w:spacing w:before="76" w:line="242" w:lineRule="auto"/>
        <w:ind w:left="793" w:right="791"/>
        <w:jc w:val="both"/>
      </w:pPr>
      <w:r>
        <w:rPr>
          <w:rFonts w:ascii="Gilroy Bold"/>
          <w:b/>
          <w:spacing w:val="-2"/>
        </w:rPr>
        <w:lastRenderedPageBreak/>
        <w:t>Note:</w:t>
      </w:r>
      <w:r>
        <w:rPr>
          <w:rFonts w:ascii="Gilroy Bold"/>
          <w:b/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English</w:t>
      </w:r>
      <w:r>
        <w:rPr>
          <w:spacing w:val="-6"/>
        </w:rPr>
        <w:t xml:space="preserve"> </w:t>
      </w:r>
      <w:r>
        <w:rPr>
          <w:spacing w:val="-2"/>
        </w:rPr>
        <w:t>version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governing</w:t>
      </w:r>
      <w:r>
        <w:rPr>
          <w:spacing w:val="-6"/>
        </w:rPr>
        <w:t xml:space="preserve"> </w:t>
      </w:r>
      <w:r>
        <w:rPr>
          <w:spacing w:val="-2"/>
        </w:rPr>
        <w:t>version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prevail</w:t>
      </w:r>
      <w:r>
        <w:rPr>
          <w:spacing w:val="-6"/>
        </w:rPr>
        <w:t xml:space="preserve"> </w:t>
      </w:r>
      <w:r>
        <w:rPr>
          <w:spacing w:val="-2"/>
        </w:rPr>
        <w:t>whenever</w:t>
      </w:r>
      <w:r>
        <w:rPr>
          <w:spacing w:val="-6"/>
        </w:rPr>
        <w:t xml:space="preserve"> </w:t>
      </w:r>
      <w:r>
        <w:rPr>
          <w:spacing w:val="-2"/>
        </w:rPr>
        <w:t>there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discrepancy</w:t>
      </w:r>
      <w:r>
        <w:rPr>
          <w:spacing w:val="-6"/>
        </w:rPr>
        <w:t xml:space="preserve"> </w:t>
      </w:r>
      <w:r>
        <w:rPr>
          <w:spacing w:val="-2"/>
        </w:rPr>
        <w:t xml:space="preserve">between </w:t>
      </w:r>
      <w:r>
        <w:t>the English version and the other versions.</w:t>
      </w:r>
    </w:p>
    <w:p w14:paraId="6971360E" w14:textId="77777777" w:rsidR="009641DC" w:rsidRDefault="009641DC">
      <w:pPr>
        <w:pStyle w:val="BodyText"/>
        <w:spacing w:before="2"/>
        <w:rPr>
          <w:sz w:val="19"/>
        </w:rPr>
      </w:pPr>
    </w:p>
    <w:p w14:paraId="3733A3A8" w14:textId="77777777" w:rsidR="009641DC" w:rsidRDefault="00535450">
      <w:pPr>
        <w:pStyle w:val="BodyText"/>
        <w:spacing w:line="247" w:lineRule="auto"/>
        <w:ind w:left="793" w:right="791"/>
        <w:jc w:val="both"/>
      </w:pPr>
      <w:r>
        <w:t>The Markets.com website is operated by Finalto (South Africa) Pty Limited</w:t>
      </w:r>
      <w:r>
        <w:rPr>
          <w:spacing w:val="40"/>
        </w:rPr>
        <w:t xml:space="preserve"> </w:t>
      </w:r>
      <w:r>
        <w:t>(“Finalto SA”) an investment firm regulate</w:t>
      </w:r>
      <w:r>
        <w:t>d by the Financial</w:t>
      </w:r>
      <w:r>
        <w:rPr>
          <w:spacing w:val="-12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46860.</w:t>
      </w:r>
      <w:r>
        <w:rPr>
          <w:spacing w:val="-11"/>
        </w:rPr>
        <w:t xml:space="preserve"> </w:t>
      </w:r>
      <w:r>
        <w:t>Finalto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Company’s policy on conflicts of interest and its approach to managing any conflicts of interest fairly: both between Markets.com our directors, </w:t>
      </w:r>
      <w:proofErr w:type="gramStart"/>
      <w:r>
        <w:t>employees</w:t>
      </w:r>
      <w:proofErr w:type="gramEnd"/>
      <w:r>
        <w:t xml:space="preserve"> and our clients, and between your interests and those of other clients.</w:t>
      </w:r>
    </w:p>
    <w:p w14:paraId="531A4570" w14:textId="77777777" w:rsidR="009641DC" w:rsidRDefault="009641DC">
      <w:pPr>
        <w:pStyle w:val="BodyText"/>
        <w:spacing w:before="6"/>
      </w:pPr>
    </w:p>
    <w:p w14:paraId="31E6B89F" w14:textId="77777777" w:rsidR="009641DC" w:rsidRDefault="00535450">
      <w:pPr>
        <w:pStyle w:val="Heading1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2"/>
        </w:rPr>
        <w:t>TEREST</w:t>
      </w:r>
    </w:p>
    <w:p w14:paraId="7B458AEB" w14:textId="77777777" w:rsidR="009641DC" w:rsidRDefault="009641DC">
      <w:pPr>
        <w:pStyle w:val="BodyText"/>
        <w:spacing w:before="1"/>
        <w:rPr>
          <w:rFonts w:ascii="Gilroy Bold"/>
          <w:b/>
        </w:rPr>
      </w:pPr>
    </w:p>
    <w:p w14:paraId="35EF4D70" w14:textId="77777777" w:rsidR="009641DC" w:rsidRDefault="00535450">
      <w:pPr>
        <w:pStyle w:val="BodyText"/>
        <w:spacing w:before="1" w:line="247" w:lineRule="auto"/>
        <w:ind w:left="793" w:right="790"/>
        <w:jc w:val="both"/>
      </w:pPr>
      <w:r>
        <w:t xml:space="preserve">Finalto SA defines a conflict of interest as any situation where either Finalto SA or an individual is </w:t>
      </w:r>
      <w:proofErr w:type="gramStart"/>
      <w:r>
        <w:t>in a position</w:t>
      </w:r>
      <w:proofErr w:type="gramEnd"/>
      <w:r>
        <w:t xml:space="preserve"> to exploit a professional or official capacity in some way for either corporate or personal benefit.</w:t>
      </w:r>
    </w:p>
    <w:p w14:paraId="387A831A" w14:textId="77777777" w:rsidR="009641DC" w:rsidRDefault="009641DC">
      <w:pPr>
        <w:pStyle w:val="BodyText"/>
        <w:spacing w:before="4"/>
      </w:pPr>
    </w:p>
    <w:p w14:paraId="4F0445E0" w14:textId="77777777" w:rsidR="009641DC" w:rsidRDefault="00535450">
      <w:pPr>
        <w:pStyle w:val="Heading1"/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2"/>
        </w:rPr>
        <w:t>MEASURES</w:t>
      </w:r>
    </w:p>
    <w:p w14:paraId="71F97C83" w14:textId="77777777" w:rsidR="009641DC" w:rsidRDefault="009641DC">
      <w:pPr>
        <w:pStyle w:val="BodyText"/>
        <w:spacing w:before="1"/>
        <w:rPr>
          <w:rFonts w:ascii="Gilroy Bold"/>
          <w:b/>
        </w:rPr>
      </w:pPr>
    </w:p>
    <w:p w14:paraId="0B2A9B23" w14:textId="77777777" w:rsidR="009641DC" w:rsidRDefault="00535450">
      <w:pPr>
        <w:pStyle w:val="BodyText"/>
        <w:spacing w:line="247" w:lineRule="auto"/>
        <w:ind w:left="793" w:right="790"/>
        <w:jc w:val="both"/>
      </w:pPr>
      <w:r>
        <w:t>Extensive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Finalto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prevent,</w:t>
      </w:r>
      <w:r>
        <w:rPr>
          <w:spacing w:val="-2"/>
        </w:rPr>
        <w:t xml:space="preserve"> </w:t>
      </w:r>
      <w:proofErr w:type="gramStart"/>
      <w:r>
        <w:t>control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between relevant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Finalto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direct link between the remuneration of relevant persons principally engaged with one activity and the remuneration of different relevant persons principally engaged in another activity.</w:t>
      </w:r>
    </w:p>
    <w:p w14:paraId="7C8E56C4" w14:textId="77777777" w:rsidR="009641DC" w:rsidRDefault="009641DC">
      <w:pPr>
        <w:pStyle w:val="BodyText"/>
        <w:spacing w:before="6"/>
      </w:pPr>
    </w:p>
    <w:p w14:paraId="7BA3A139" w14:textId="77777777" w:rsidR="009641DC" w:rsidRDefault="00535450">
      <w:pPr>
        <w:pStyle w:val="Heading1"/>
        <w:spacing w:before="1"/>
      </w:pPr>
      <w:r>
        <w:t>DISCLOSURE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14:paraId="4F6D0A02" w14:textId="77777777" w:rsidR="009641DC" w:rsidRDefault="009641DC">
      <w:pPr>
        <w:pStyle w:val="BodyText"/>
        <w:spacing w:before="1"/>
        <w:rPr>
          <w:rFonts w:ascii="Gilroy Bold"/>
          <w:b/>
        </w:rPr>
      </w:pPr>
    </w:p>
    <w:p w14:paraId="2525C3C6" w14:textId="77777777" w:rsidR="009641DC" w:rsidRDefault="00535450">
      <w:pPr>
        <w:pStyle w:val="BodyText"/>
        <w:spacing w:line="247" w:lineRule="auto"/>
        <w:ind w:left="793" w:right="790"/>
        <w:jc w:val="both"/>
      </w:pPr>
      <w:r>
        <w:rPr>
          <w:spacing w:val="-2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measures</w:t>
      </w:r>
      <w:r>
        <w:rPr>
          <w:spacing w:val="-3"/>
        </w:rPr>
        <w:t xml:space="preserve"> </w:t>
      </w:r>
      <w:r>
        <w:rPr>
          <w:spacing w:val="-2"/>
        </w:rPr>
        <w:t>taken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Final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manage</w:t>
      </w:r>
      <w:r>
        <w:rPr>
          <w:spacing w:val="-3"/>
        </w:rPr>
        <w:t xml:space="preserve"> </w:t>
      </w:r>
      <w:r>
        <w:rPr>
          <w:spacing w:val="-2"/>
        </w:rPr>
        <w:t>conflicts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interest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sufficient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ensure,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reasonable</w:t>
      </w:r>
      <w:r>
        <w:rPr>
          <w:spacing w:val="-3"/>
        </w:rPr>
        <w:t xml:space="preserve"> </w:t>
      </w:r>
      <w:r>
        <w:rPr>
          <w:spacing w:val="-2"/>
        </w:rPr>
        <w:t xml:space="preserve">confidence,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clients’</w:t>
      </w:r>
      <w:r>
        <w:rPr>
          <w:spacing w:val="-11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prevented,</w:t>
      </w:r>
      <w:r>
        <w:rPr>
          <w:spacing w:val="-11"/>
        </w:rPr>
        <w:t xml:space="preserve"> </w:t>
      </w:r>
      <w:r>
        <w:t>Finalto</w:t>
      </w:r>
      <w:r>
        <w:rPr>
          <w:spacing w:val="-11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conflicts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client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 to</w:t>
      </w:r>
      <w:proofErr w:type="gramEnd"/>
      <w:r>
        <w:t xml:space="preserve"> prevent a risk of damage to clients’ interests. Prior to carrying out a transaction or providing an investment or an ancillary service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client,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conflict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</w:t>
      </w:r>
      <w:r>
        <w:t>ufficient</w:t>
      </w:r>
      <w:r>
        <w:rPr>
          <w:spacing w:val="-12"/>
        </w:rPr>
        <w:t xml:space="preserve"> </w:t>
      </w:r>
      <w:r>
        <w:t>time, in a durable means.</w:t>
      </w:r>
    </w:p>
    <w:p w14:paraId="34D43CA0" w14:textId="77777777" w:rsidR="009641DC" w:rsidRDefault="009641DC">
      <w:pPr>
        <w:pStyle w:val="BodyText"/>
        <w:spacing w:before="7"/>
      </w:pPr>
    </w:p>
    <w:p w14:paraId="4D269AB8" w14:textId="77777777" w:rsidR="009641DC" w:rsidRDefault="00535450">
      <w:pPr>
        <w:pStyle w:val="Heading1"/>
      </w:pP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KEEPING</w:t>
      </w:r>
    </w:p>
    <w:p w14:paraId="5D0A6174" w14:textId="77777777" w:rsidR="009641DC" w:rsidRDefault="009641DC">
      <w:pPr>
        <w:pStyle w:val="BodyText"/>
        <w:spacing w:before="2"/>
        <w:rPr>
          <w:rFonts w:ascii="Gilroy Bold"/>
          <w:b/>
        </w:rPr>
      </w:pPr>
    </w:p>
    <w:p w14:paraId="72498C75" w14:textId="77777777" w:rsidR="009641DC" w:rsidRDefault="00535450">
      <w:pPr>
        <w:pStyle w:val="BodyText"/>
        <w:spacing w:line="247" w:lineRule="auto"/>
        <w:ind w:left="793" w:right="791"/>
        <w:jc w:val="both"/>
      </w:pPr>
      <w:r>
        <w:t>Finalto SA maintains a record, which is regularly updated, of the kinds of investments and ancillary services or investment activities carried out by Finalto SA or on its behalf in which a conflict of in</w:t>
      </w:r>
      <w:r>
        <w:t>terest entailing a material risk of damage to the interests of one or more clients has arisen.</w:t>
      </w:r>
    </w:p>
    <w:p w14:paraId="0A9E653C" w14:textId="77777777" w:rsidR="009641DC" w:rsidRDefault="009641DC">
      <w:pPr>
        <w:pStyle w:val="BodyText"/>
        <w:rPr>
          <w:sz w:val="20"/>
        </w:rPr>
      </w:pPr>
    </w:p>
    <w:p w14:paraId="799E64AB" w14:textId="77777777" w:rsidR="009641DC" w:rsidRDefault="009641DC">
      <w:pPr>
        <w:pStyle w:val="BodyText"/>
        <w:rPr>
          <w:sz w:val="20"/>
        </w:rPr>
      </w:pPr>
    </w:p>
    <w:p w14:paraId="4C88E4F6" w14:textId="77777777" w:rsidR="009641DC" w:rsidRDefault="009641DC">
      <w:pPr>
        <w:pStyle w:val="BodyText"/>
        <w:rPr>
          <w:sz w:val="20"/>
        </w:rPr>
      </w:pPr>
    </w:p>
    <w:p w14:paraId="3AC4A07D" w14:textId="77777777" w:rsidR="009641DC" w:rsidRDefault="009641DC">
      <w:pPr>
        <w:pStyle w:val="BodyText"/>
        <w:rPr>
          <w:sz w:val="20"/>
        </w:rPr>
      </w:pPr>
    </w:p>
    <w:p w14:paraId="244D9D33" w14:textId="77777777" w:rsidR="009641DC" w:rsidRDefault="009641DC">
      <w:pPr>
        <w:pStyle w:val="BodyText"/>
        <w:rPr>
          <w:sz w:val="20"/>
        </w:rPr>
      </w:pPr>
    </w:p>
    <w:p w14:paraId="5094736F" w14:textId="77777777" w:rsidR="009641DC" w:rsidRDefault="009641DC">
      <w:pPr>
        <w:pStyle w:val="BodyText"/>
        <w:rPr>
          <w:sz w:val="20"/>
        </w:rPr>
      </w:pPr>
    </w:p>
    <w:p w14:paraId="6A1D5538" w14:textId="77777777" w:rsidR="009641DC" w:rsidRDefault="009641DC">
      <w:pPr>
        <w:pStyle w:val="BodyText"/>
        <w:rPr>
          <w:sz w:val="20"/>
        </w:rPr>
      </w:pPr>
    </w:p>
    <w:p w14:paraId="025B34C4" w14:textId="77777777" w:rsidR="009641DC" w:rsidRDefault="009641DC">
      <w:pPr>
        <w:pStyle w:val="BodyText"/>
        <w:rPr>
          <w:sz w:val="20"/>
        </w:rPr>
      </w:pPr>
    </w:p>
    <w:p w14:paraId="0003FA81" w14:textId="77777777" w:rsidR="009641DC" w:rsidRDefault="009641DC">
      <w:pPr>
        <w:pStyle w:val="BodyText"/>
        <w:rPr>
          <w:sz w:val="20"/>
        </w:rPr>
      </w:pPr>
    </w:p>
    <w:p w14:paraId="33ADDC4A" w14:textId="77777777" w:rsidR="009641DC" w:rsidRDefault="009641DC">
      <w:pPr>
        <w:pStyle w:val="BodyText"/>
        <w:rPr>
          <w:sz w:val="20"/>
        </w:rPr>
      </w:pPr>
    </w:p>
    <w:p w14:paraId="2FE8E0EA" w14:textId="77777777" w:rsidR="009641DC" w:rsidRDefault="009641DC">
      <w:pPr>
        <w:pStyle w:val="BodyText"/>
        <w:rPr>
          <w:sz w:val="20"/>
        </w:rPr>
      </w:pPr>
    </w:p>
    <w:p w14:paraId="1409387E" w14:textId="77777777" w:rsidR="009641DC" w:rsidRDefault="009641DC">
      <w:pPr>
        <w:pStyle w:val="BodyText"/>
        <w:rPr>
          <w:sz w:val="20"/>
        </w:rPr>
      </w:pPr>
    </w:p>
    <w:p w14:paraId="40C8F830" w14:textId="77777777" w:rsidR="009641DC" w:rsidRDefault="009641DC">
      <w:pPr>
        <w:pStyle w:val="BodyText"/>
        <w:rPr>
          <w:sz w:val="20"/>
        </w:rPr>
      </w:pPr>
    </w:p>
    <w:p w14:paraId="78E62F0A" w14:textId="77777777" w:rsidR="009641DC" w:rsidRDefault="009641DC">
      <w:pPr>
        <w:pStyle w:val="BodyText"/>
        <w:rPr>
          <w:sz w:val="20"/>
        </w:rPr>
      </w:pPr>
    </w:p>
    <w:p w14:paraId="31A77829" w14:textId="77777777" w:rsidR="009641DC" w:rsidRDefault="009641DC">
      <w:pPr>
        <w:pStyle w:val="BodyText"/>
        <w:rPr>
          <w:sz w:val="20"/>
        </w:rPr>
      </w:pPr>
    </w:p>
    <w:p w14:paraId="00B99B88" w14:textId="77777777" w:rsidR="009641DC" w:rsidRDefault="009641DC">
      <w:pPr>
        <w:pStyle w:val="BodyText"/>
        <w:rPr>
          <w:sz w:val="20"/>
        </w:rPr>
      </w:pPr>
    </w:p>
    <w:p w14:paraId="6B9073B1" w14:textId="77777777" w:rsidR="009641DC" w:rsidRDefault="009641DC">
      <w:pPr>
        <w:pStyle w:val="BodyText"/>
        <w:rPr>
          <w:sz w:val="20"/>
        </w:rPr>
      </w:pPr>
    </w:p>
    <w:p w14:paraId="1FB32B7D" w14:textId="77777777" w:rsidR="009641DC" w:rsidRDefault="009641DC">
      <w:pPr>
        <w:pStyle w:val="BodyText"/>
        <w:rPr>
          <w:sz w:val="20"/>
        </w:rPr>
      </w:pPr>
    </w:p>
    <w:p w14:paraId="379825DD" w14:textId="77777777" w:rsidR="009641DC" w:rsidRDefault="009641DC">
      <w:pPr>
        <w:pStyle w:val="BodyText"/>
        <w:rPr>
          <w:sz w:val="20"/>
        </w:rPr>
      </w:pPr>
    </w:p>
    <w:p w14:paraId="62F165C0" w14:textId="77777777" w:rsidR="009641DC" w:rsidRDefault="009641DC">
      <w:pPr>
        <w:pStyle w:val="BodyText"/>
        <w:rPr>
          <w:sz w:val="20"/>
        </w:rPr>
      </w:pPr>
    </w:p>
    <w:p w14:paraId="61D9681D" w14:textId="77777777" w:rsidR="009641DC" w:rsidRDefault="009641DC">
      <w:pPr>
        <w:pStyle w:val="BodyText"/>
        <w:rPr>
          <w:sz w:val="20"/>
        </w:rPr>
      </w:pPr>
    </w:p>
    <w:p w14:paraId="6C7C19EB" w14:textId="77777777" w:rsidR="009641DC" w:rsidRDefault="009641DC">
      <w:pPr>
        <w:pStyle w:val="BodyText"/>
        <w:rPr>
          <w:sz w:val="20"/>
        </w:rPr>
      </w:pPr>
    </w:p>
    <w:p w14:paraId="6FFB3019" w14:textId="77777777" w:rsidR="009641DC" w:rsidRDefault="009641DC">
      <w:pPr>
        <w:pStyle w:val="BodyText"/>
        <w:rPr>
          <w:sz w:val="20"/>
        </w:rPr>
      </w:pPr>
    </w:p>
    <w:p w14:paraId="1271264C" w14:textId="77777777" w:rsidR="009641DC" w:rsidRDefault="009641DC">
      <w:pPr>
        <w:pStyle w:val="BodyText"/>
        <w:rPr>
          <w:sz w:val="20"/>
        </w:rPr>
      </w:pPr>
    </w:p>
    <w:p w14:paraId="19D6E4CA" w14:textId="77777777" w:rsidR="009641DC" w:rsidRDefault="009641DC">
      <w:pPr>
        <w:pStyle w:val="BodyText"/>
        <w:rPr>
          <w:sz w:val="20"/>
        </w:rPr>
      </w:pPr>
    </w:p>
    <w:p w14:paraId="6413CF2E" w14:textId="77777777" w:rsidR="009641DC" w:rsidRDefault="009641DC">
      <w:pPr>
        <w:pStyle w:val="BodyText"/>
        <w:rPr>
          <w:sz w:val="20"/>
        </w:rPr>
      </w:pPr>
    </w:p>
    <w:p w14:paraId="67000195" w14:textId="77777777" w:rsidR="009641DC" w:rsidRDefault="009641DC">
      <w:pPr>
        <w:pStyle w:val="BodyText"/>
        <w:rPr>
          <w:sz w:val="20"/>
        </w:rPr>
      </w:pPr>
    </w:p>
    <w:p w14:paraId="0649A439" w14:textId="77777777" w:rsidR="009641DC" w:rsidRDefault="009641DC">
      <w:pPr>
        <w:pStyle w:val="BodyText"/>
        <w:rPr>
          <w:sz w:val="20"/>
        </w:rPr>
      </w:pPr>
    </w:p>
    <w:p w14:paraId="522DD22F" w14:textId="77777777" w:rsidR="009641DC" w:rsidRDefault="009641DC">
      <w:pPr>
        <w:pStyle w:val="BodyText"/>
        <w:rPr>
          <w:sz w:val="20"/>
        </w:rPr>
      </w:pPr>
    </w:p>
    <w:p w14:paraId="42E526BF" w14:textId="77777777" w:rsidR="009641DC" w:rsidRDefault="009641DC">
      <w:pPr>
        <w:pStyle w:val="BodyText"/>
        <w:rPr>
          <w:sz w:val="20"/>
        </w:rPr>
      </w:pPr>
    </w:p>
    <w:p w14:paraId="6C0C46C6" w14:textId="77777777" w:rsidR="009641DC" w:rsidRDefault="009641DC">
      <w:pPr>
        <w:pStyle w:val="BodyText"/>
        <w:spacing w:before="6"/>
        <w:rPr>
          <w:sz w:val="21"/>
        </w:rPr>
      </w:pPr>
    </w:p>
    <w:p w14:paraId="2E040E85" w14:textId="77777777" w:rsidR="009641DC" w:rsidRDefault="00535450">
      <w:pPr>
        <w:spacing w:before="106"/>
        <w:ind w:right="873"/>
        <w:jc w:val="right"/>
        <w:rPr>
          <w:rFonts w:ascii="Gilroy Bold"/>
          <w:b/>
        </w:rPr>
      </w:pPr>
      <w:r>
        <w:rPr>
          <w:rFonts w:ascii="Gilroy Bold"/>
          <w:b/>
          <w:color w:val="414042"/>
        </w:rPr>
        <w:t>Page</w:t>
      </w:r>
      <w:r>
        <w:rPr>
          <w:rFonts w:ascii="Gilroy Bold"/>
          <w:b/>
          <w:color w:val="414042"/>
          <w:spacing w:val="-8"/>
        </w:rPr>
        <w:t xml:space="preserve"> </w:t>
      </w:r>
      <w:r>
        <w:rPr>
          <w:rFonts w:ascii="Gilroy Bold"/>
          <w:b/>
          <w:color w:val="414042"/>
          <w:spacing w:val="-10"/>
        </w:rPr>
        <w:t>2</w:t>
      </w:r>
    </w:p>
    <w:sectPr w:rsidR="009641DC">
      <w:pgSz w:w="11910" w:h="16840"/>
      <w:pgMar w:top="12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9BC5" w14:textId="77777777" w:rsidR="00535450" w:rsidRDefault="00535450" w:rsidP="00535450">
      <w:r>
        <w:separator/>
      </w:r>
    </w:p>
  </w:endnote>
  <w:endnote w:type="continuationSeparator" w:id="0">
    <w:p w14:paraId="39A55D7F" w14:textId="77777777" w:rsidR="00535450" w:rsidRDefault="00535450" w:rsidP="005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libri"/>
    <w:charset w:val="00"/>
    <w:family w:val="modern"/>
    <w:pitch w:val="variable"/>
  </w:font>
  <w:font w:name="Gilroy Bold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BE09" w14:textId="77777777" w:rsidR="00535450" w:rsidRDefault="00535450" w:rsidP="00535450">
      <w:r>
        <w:separator/>
      </w:r>
    </w:p>
  </w:footnote>
  <w:footnote w:type="continuationSeparator" w:id="0">
    <w:p w14:paraId="1A24A73B" w14:textId="77777777" w:rsidR="00535450" w:rsidRDefault="00535450" w:rsidP="0053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2138" w14:textId="440F7DD2" w:rsidR="00535450" w:rsidRDefault="00535450" w:rsidP="00535450">
    <w:pPr>
      <w:pStyle w:val="BodyText"/>
      <w:spacing w:line="14" w:lineRule="auto"/>
      <w:jc w:val="center"/>
      <w:rPr>
        <w:sz w:val="20"/>
      </w:rPr>
    </w:pPr>
    <w:bookmarkStart w:id="0" w:name="_Hlk150844189"/>
    <w:bookmarkStart w:id="1" w:name="_Hlk150844190"/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7B49E1" wp14:editId="04FB9F00">
              <wp:simplePos x="0" y="0"/>
              <wp:positionH relativeFrom="margin">
                <wp:posOffset>1275715</wp:posOffset>
              </wp:positionH>
              <wp:positionV relativeFrom="paragraph">
                <wp:posOffset>-6986</wp:posOffset>
              </wp:positionV>
              <wp:extent cx="582041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ln>
                        <a:solidFill>
                          <a:srgbClr val="051C2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9619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0.45pt,-.55pt" to="558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" strokecolor="#051c2c"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DD2B13" wp14:editId="5BCA478D">
          <wp:simplePos x="0" y="0"/>
          <wp:positionH relativeFrom="margin">
            <wp:posOffset>198120</wp:posOffset>
          </wp:positionH>
          <wp:positionV relativeFrom="margin">
            <wp:posOffset>-535940</wp:posOffset>
          </wp:positionV>
          <wp:extent cx="1089660" cy="398145"/>
          <wp:effectExtent l="0" t="0" r="0" b="0"/>
          <wp:wrapSquare wrapText="bothSides"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bookmarkEnd w:id="1"/>
  </w:p>
  <w:p w14:paraId="111CF798" w14:textId="77777777" w:rsidR="00535450" w:rsidRDefault="00535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1DC"/>
    <w:rsid w:val="00535450"/>
    <w:rsid w:val="009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EC896E"/>
  <w15:docId w15:val="{5C9ADB8C-1008-4AE1-988B-F820B6CB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" w:eastAsia="Gilroy" w:hAnsi="Gilroy" w:cs="Gilroy"/>
    </w:rPr>
  </w:style>
  <w:style w:type="paragraph" w:styleId="Heading1">
    <w:name w:val="heading 1"/>
    <w:basedOn w:val="Normal"/>
    <w:uiPriority w:val="9"/>
    <w:qFormat/>
    <w:pPr>
      <w:ind w:left="793"/>
      <w:outlineLvl w:val="0"/>
    </w:pPr>
    <w:rPr>
      <w:rFonts w:ascii="Gilroy Bold" w:eastAsia="Gilroy Bold" w:hAnsi="Gilroy Bold" w:cs="Gilroy Bol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8"/>
      <w:ind w:left="8040" w:right="95"/>
    </w:pPr>
    <w:rPr>
      <w:rFonts w:ascii="Gilroy Bold" w:eastAsia="Gilroy Bold" w:hAnsi="Gilroy Bold" w:cs="Gilroy Bold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50"/>
    <w:rPr>
      <w:rFonts w:ascii="Gilroy" w:eastAsia="Gilroy" w:hAnsi="Gilroy" w:cs="Gilroy"/>
    </w:rPr>
  </w:style>
  <w:style w:type="paragraph" w:styleId="Footer">
    <w:name w:val="footer"/>
    <w:basedOn w:val="Normal"/>
    <w:link w:val="FooterChar"/>
    <w:uiPriority w:val="99"/>
    <w:unhideWhenUsed/>
    <w:rsid w:val="0053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50"/>
    <w:rPr>
      <w:rFonts w:ascii="Gilroy" w:eastAsia="Gilroy" w:hAnsi="Gilroy" w:cs="Gilro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THE MANAGEMENT OF CONFLICTS OF INTEREST</dc:title>
  <cp:lastModifiedBy>Constantina Koniali</cp:lastModifiedBy>
  <cp:revision>2</cp:revision>
  <dcterms:created xsi:type="dcterms:W3CDTF">2022-12-14T09:00:00Z</dcterms:created>
  <dcterms:modified xsi:type="dcterms:W3CDTF">2023-11-14T07:04:00Z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16.0.3</vt:lpwstr>
  </property>
</Properties>
</file>